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8BA3B" w14:textId="1B7EB801" w:rsidR="002907BA" w:rsidRPr="002907BA" w:rsidRDefault="002907BA" w:rsidP="002907BA">
      <w:pPr>
        <w:jc w:val="both"/>
        <w:rPr>
          <w:rFonts w:cstheme="minorHAnsi"/>
          <w:b/>
          <w:caps/>
          <w:color w:val="4472C4" w:themeColor="accent1"/>
          <w:sz w:val="24"/>
          <w:szCs w:val="24"/>
        </w:rPr>
      </w:pPr>
      <w:r w:rsidRPr="002907BA">
        <w:rPr>
          <w:rFonts w:cstheme="minorHAnsi"/>
          <w:b/>
          <w:caps/>
          <w:color w:val="4472C4" w:themeColor="accent1"/>
          <w:sz w:val="24"/>
          <w:szCs w:val="24"/>
        </w:rPr>
        <w:t>несвоевременность поступления целевых средств не повлияла на наличие жизненно необходимых коммуникаций (базового пакета) для проживания в поселке.</w:t>
      </w:r>
    </w:p>
    <w:p w14:paraId="1F6D2E85" w14:textId="1610AE58" w:rsidR="002907BA" w:rsidRPr="002907BA" w:rsidRDefault="002907BA" w:rsidP="002907BA">
      <w:pPr>
        <w:jc w:val="both"/>
        <w:rPr>
          <w:rFonts w:cstheme="minorHAnsi"/>
          <w:sz w:val="24"/>
          <w:szCs w:val="24"/>
        </w:rPr>
      </w:pPr>
      <w:r w:rsidRPr="002907BA">
        <w:rPr>
          <w:rFonts w:cstheme="minorHAnsi"/>
          <w:sz w:val="24"/>
          <w:szCs w:val="24"/>
        </w:rPr>
        <w:t xml:space="preserve">ДНП создано в 2012 году и имело план развития, включающий создание инфраструктуры за период 3-4 года при </w:t>
      </w:r>
      <w:r w:rsidRPr="002907BA">
        <w:rPr>
          <w:rFonts w:cstheme="minorHAnsi"/>
          <w:color w:val="000000" w:themeColor="text1"/>
          <w:sz w:val="24"/>
          <w:szCs w:val="24"/>
        </w:rPr>
        <w:t xml:space="preserve">условии </w:t>
      </w:r>
      <w:r w:rsidRPr="002907BA">
        <w:rPr>
          <w:rFonts w:cstheme="minorHAnsi"/>
          <w:b/>
          <w:color w:val="000000" w:themeColor="text1"/>
          <w:sz w:val="24"/>
          <w:szCs w:val="24"/>
        </w:rPr>
        <w:t>полного поступления денежных средств за этот период</w:t>
      </w:r>
      <w:r w:rsidRPr="002907BA">
        <w:rPr>
          <w:rFonts w:cstheme="minorHAnsi"/>
          <w:color w:val="000000" w:themeColor="text1"/>
          <w:sz w:val="24"/>
          <w:szCs w:val="24"/>
        </w:rPr>
        <w:t xml:space="preserve">, поэтому на основании проведенных расчетов была определена сумма целевых взносов в 300000 рублей. Так как поступление целевых средств затянулось до настоящего времени, образовалась задолженность за созданное имущество, которым пользуются все собственники. Не равномерность, не своевременность поступления целевых средств не повлияла на наличие жизненно необходимых коммуникаций (базового пакета) для проживания в поселке, при этом доведение отдельных объектов инфраструктуры до надлежащего вида требуют дополнительного времени и средств, а уже созданное имущество нуждается в его содержании. </w:t>
      </w:r>
      <w:r w:rsidRPr="002907BA">
        <w:rPr>
          <w:rFonts w:cstheme="minorHAnsi"/>
          <w:sz w:val="24"/>
          <w:szCs w:val="24"/>
        </w:rPr>
        <w:t>Наглядно поступление целевых средств, расходование на создание имущества общего пользования приведено в следующих графиках:</w:t>
      </w:r>
    </w:p>
    <w:p w14:paraId="1E8E6EA6" w14:textId="3288522C" w:rsidR="000723A2" w:rsidRPr="002907BA" w:rsidRDefault="002907BA" w:rsidP="000723A2">
      <w:pPr>
        <w:jc w:val="both"/>
        <w:rPr>
          <w:rFonts w:cstheme="minorHAnsi"/>
          <w:color w:val="000000" w:themeColor="text1"/>
          <w:sz w:val="32"/>
          <w:szCs w:val="32"/>
        </w:rPr>
      </w:pPr>
      <w:r>
        <w:rPr>
          <w:noProof/>
          <w:lang w:eastAsia="ru-RU"/>
        </w:rPr>
        <w:drawing>
          <wp:inline distT="0" distB="0" distL="0" distR="0" wp14:anchorId="32C520ED" wp14:editId="6AE857E0">
            <wp:extent cx="6840220" cy="5837071"/>
            <wp:effectExtent l="0" t="0" r="17780" b="1143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B5BC382" w14:textId="77777777" w:rsidR="00502E22" w:rsidRDefault="00502E22" w:rsidP="000723A2">
      <w:pPr>
        <w:rPr>
          <w:b/>
          <w:sz w:val="28"/>
          <w:szCs w:val="28"/>
        </w:rPr>
      </w:pPr>
    </w:p>
    <w:p w14:paraId="6A52791E" w14:textId="77777777" w:rsidR="002907BA" w:rsidRDefault="002907BA" w:rsidP="000723A2">
      <w:pPr>
        <w:rPr>
          <w:b/>
          <w:color w:val="FF0000"/>
          <w:sz w:val="28"/>
          <w:szCs w:val="28"/>
        </w:rPr>
      </w:pPr>
    </w:p>
    <w:p w14:paraId="2E505BA3" w14:textId="77777777" w:rsidR="002907BA" w:rsidRDefault="002907BA" w:rsidP="000723A2">
      <w:pPr>
        <w:rPr>
          <w:b/>
          <w:color w:val="FF0000"/>
          <w:sz w:val="28"/>
          <w:szCs w:val="28"/>
        </w:rPr>
      </w:pPr>
      <w:bookmarkStart w:id="0" w:name="_GoBack"/>
      <w:bookmarkEnd w:id="0"/>
    </w:p>
    <w:sectPr w:rsidR="002907BA" w:rsidSect="005F706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5E"/>
    <w:rsid w:val="00057058"/>
    <w:rsid w:val="000723A2"/>
    <w:rsid w:val="00166B08"/>
    <w:rsid w:val="002907BA"/>
    <w:rsid w:val="00502E22"/>
    <w:rsid w:val="006C1976"/>
    <w:rsid w:val="00712B32"/>
    <w:rsid w:val="007B21EE"/>
    <w:rsid w:val="009158F7"/>
    <w:rsid w:val="009E2709"/>
    <w:rsid w:val="00CA537E"/>
    <w:rsid w:val="00D24CFD"/>
    <w:rsid w:val="00E8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215A"/>
  <w15:chartTrackingRefBased/>
  <w15:docId w15:val="{7300AB5D-E75A-4162-B9AF-6840CF1C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3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0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70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39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1089;%20&#1076;&#1080;&#1089;&#1082;&#1072;%20F\&#1088;&#1086;&#1089;&#1090;&#1086;&#1074;\&#1059;&#1089;&#1072;&#1076;&#1100;&#1073;&#1072;\&#1059;&#1089;&#1072;&#1076;&#1100;&#1073;&#1072;&#1089;&#1084;&#1077;&#1090;&#1099;\&#1050;&#1086;&#1087;&#1080;&#1103;%20&#1050;&#1086;&#1087;&#1080;&#1103;%20&#1072;&#1085;&#1072;&#1083;&#1080;&#1079;%20&#1059;&#1089;&#1072;&#1076;&#1100;&#1073;&#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30839542044871"/>
          <c:y val="2.185478915975839E-2"/>
          <c:w val="0.50148289021699077"/>
          <c:h val="0.91319526235691129"/>
        </c:manualLayout>
      </c:layout>
      <c:lineChart>
        <c:grouping val="standard"/>
        <c:varyColors val="0"/>
        <c:ser>
          <c:idx val="0"/>
          <c:order val="0"/>
          <c:tx>
            <c:strRef>
              <c:f>ИВ!$A$2</c:f>
              <c:strCache>
                <c:ptCount val="1"/>
                <c:pt idx="0">
                  <c:v>фактическое поступления в целевой фонд  РУБ,</c:v>
                </c:pt>
              </c:strCache>
            </c:strRef>
          </c:tx>
          <c:dLbls>
            <c:dLbl>
              <c:idx val="0"/>
              <c:layout>
                <c:manualLayout>
                  <c:x val="1.7213555675094135E-2"/>
                  <c:y val="-4.0816326530612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8C-4A53-90E6-C3252A9B3D9E}"/>
                </c:ext>
              </c:extLst>
            </c:dLbl>
            <c:dLbl>
              <c:idx val="5"/>
              <c:layout>
                <c:manualLayout>
                  <c:x val="5.594405594405602E-2"/>
                  <c:y val="1.20048019207683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8C-4A53-90E6-C3252A9B3D9E}"/>
                </c:ext>
              </c:extLst>
            </c:dLbl>
            <c:dLbl>
              <c:idx val="7"/>
              <c:layout>
                <c:manualLayout>
                  <c:x val="-5.3792361484669177E-2"/>
                  <c:y val="1.20048019207683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8C-4A53-90E6-C3252A9B3D9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ИВ!$B$1:$I$1</c:f>
              <c:numCache>
                <c:formatCode>General</c:formatCode>
                <c:ptCount val="8"/>
                <c:pt idx="0">
                  <c:v>2012</c:v>
                </c:pt>
                <c:pt idx="1">
                  <c:v>2013</c:v>
                </c:pt>
                <c:pt idx="2">
                  <c:v>2014</c:v>
                </c:pt>
                <c:pt idx="3">
                  <c:v>2015</c:v>
                </c:pt>
                <c:pt idx="4">
                  <c:v>2016</c:v>
                </c:pt>
                <c:pt idx="5">
                  <c:v>2017</c:v>
                </c:pt>
                <c:pt idx="6">
                  <c:v>2018</c:v>
                </c:pt>
                <c:pt idx="7">
                  <c:v>2019</c:v>
                </c:pt>
              </c:numCache>
            </c:numRef>
          </c:cat>
          <c:val>
            <c:numRef>
              <c:f>ИВ!$B$2:$I$2</c:f>
              <c:numCache>
                <c:formatCode>#,##0</c:formatCode>
                <c:ptCount val="8"/>
                <c:pt idx="0">
                  <c:v>2363000</c:v>
                </c:pt>
                <c:pt idx="1">
                  <c:v>12081069.609999999</c:v>
                </c:pt>
                <c:pt idx="2">
                  <c:v>50411443.549999997</c:v>
                </c:pt>
                <c:pt idx="3">
                  <c:v>27138038.199999999</c:v>
                </c:pt>
                <c:pt idx="4">
                  <c:v>18779306.349999998</c:v>
                </c:pt>
                <c:pt idx="5">
                  <c:v>15097066.600000001</c:v>
                </c:pt>
                <c:pt idx="6">
                  <c:v>2316400</c:v>
                </c:pt>
                <c:pt idx="7">
                  <c:v>32300000</c:v>
                </c:pt>
              </c:numCache>
            </c:numRef>
          </c:val>
          <c:smooth val="0"/>
          <c:extLst>
            <c:ext xmlns:c16="http://schemas.microsoft.com/office/drawing/2014/chart" uri="{C3380CC4-5D6E-409C-BE32-E72D297353CC}">
              <c16:uniqueId val="{00000003-C68C-4A53-90E6-C3252A9B3D9E}"/>
            </c:ext>
          </c:extLst>
        </c:ser>
        <c:ser>
          <c:idx val="1"/>
          <c:order val="1"/>
          <c:tx>
            <c:strRef>
              <c:f>ИВ!$A$3</c:f>
              <c:strCache>
                <c:ptCount val="1"/>
                <c:pt idx="0">
                  <c:v> расходование целевого фонда в т.ч. на сооруж. объектов : электроснабжения, газоснабжения, водоснабжения, дороги, видеонаблюдени, РУБ,</c:v>
                </c:pt>
              </c:strCache>
            </c:strRef>
          </c:tx>
          <c:dLbls>
            <c:dLbl>
              <c:idx val="1"/>
              <c:layout>
                <c:manualLayout>
                  <c:x val="0"/>
                  <c:y val="4.0816326530612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68C-4A53-90E6-C3252A9B3D9E}"/>
                </c:ext>
              </c:extLst>
            </c:dLbl>
            <c:dLbl>
              <c:idx val="5"/>
              <c:layout>
                <c:manualLayout>
                  <c:x val="-1.7213555675094135E-2"/>
                  <c:y val="1.680672268907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68C-4A53-90E6-C3252A9B3D9E}"/>
                </c:ext>
              </c:extLst>
            </c:dLbl>
            <c:dLbl>
              <c:idx val="6"/>
              <c:layout>
                <c:manualLayout>
                  <c:x val="-8.1764389456697145E-2"/>
                  <c:y val="-3.6014405762304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68C-4A53-90E6-C3252A9B3D9E}"/>
                </c:ext>
              </c:extLst>
            </c:dLbl>
            <c:dLbl>
              <c:idx val="7"/>
              <c:layout>
                <c:manualLayout>
                  <c:x val="-8.1764389456697145E-2"/>
                  <c:y val="-3.601440576230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68C-4A53-90E6-C3252A9B3D9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ИВ!$B$1:$I$1</c:f>
              <c:numCache>
                <c:formatCode>General</c:formatCode>
                <c:ptCount val="8"/>
                <c:pt idx="0">
                  <c:v>2012</c:v>
                </c:pt>
                <c:pt idx="1">
                  <c:v>2013</c:v>
                </c:pt>
                <c:pt idx="2">
                  <c:v>2014</c:v>
                </c:pt>
                <c:pt idx="3">
                  <c:v>2015</c:v>
                </c:pt>
                <c:pt idx="4">
                  <c:v>2016</c:v>
                </c:pt>
                <c:pt idx="5">
                  <c:v>2017</c:v>
                </c:pt>
                <c:pt idx="6">
                  <c:v>2018</c:v>
                </c:pt>
                <c:pt idx="7">
                  <c:v>2019</c:v>
                </c:pt>
              </c:numCache>
            </c:numRef>
          </c:cat>
          <c:val>
            <c:numRef>
              <c:f>ИВ!$B$3:$I$3</c:f>
              <c:numCache>
                <c:formatCode>#,##0</c:formatCode>
                <c:ptCount val="8"/>
                <c:pt idx="0">
                  <c:v>2524960.2099999995</c:v>
                </c:pt>
                <c:pt idx="1">
                  <c:v>12789078.530000001</c:v>
                </c:pt>
                <c:pt idx="2">
                  <c:v>61775332.57</c:v>
                </c:pt>
                <c:pt idx="3">
                  <c:v>45239184.289999999</c:v>
                </c:pt>
                <c:pt idx="4">
                  <c:v>14983660.079999998</c:v>
                </c:pt>
                <c:pt idx="5">
                  <c:v>10566178.99</c:v>
                </c:pt>
                <c:pt idx="6" formatCode="#,##0.00">
                  <c:v>13496471.109999999</c:v>
                </c:pt>
                <c:pt idx="7" formatCode="0">
                  <c:v>32300000</c:v>
                </c:pt>
              </c:numCache>
            </c:numRef>
          </c:val>
          <c:smooth val="0"/>
          <c:extLst>
            <c:ext xmlns:c16="http://schemas.microsoft.com/office/drawing/2014/chart" uri="{C3380CC4-5D6E-409C-BE32-E72D297353CC}">
              <c16:uniqueId val="{00000008-C68C-4A53-90E6-C3252A9B3D9E}"/>
            </c:ext>
          </c:extLst>
        </c:ser>
        <c:dLbls>
          <c:showLegendKey val="0"/>
          <c:showVal val="0"/>
          <c:showCatName val="0"/>
          <c:showSerName val="0"/>
          <c:showPercent val="0"/>
          <c:showBubbleSize val="0"/>
        </c:dLbls>
        <c:marker val="1"/>
        <c:smooth val="0"/>
        <c:axId val="164756096"/>
        <c:axId val="164864384"/>
      </c:lineChart>
      <c:catAx>
        <c:axId val="164756096"/>
        <c:scaling>
          <c:orientation val="minMax"/>
        </c:scaling>
        <c:delete val="0"/>
        <c:axPos val="b"/>
        <c:numFmt formatCode="General" sourceLinked="1"/>
        <c:majorTickMark val="out"/>
        <c:minorTickMark val="none"/>
        <c:tickLblPos val="nextTo"/>
        <c:crossAx val="164864384"/>
        <c:crosses val="autoZero"/>
        <c:auto val="1"/>
        <c:lblAlgn val="ctr"/>
        <c:lblOffset val="100"/>
        <c:noMultiLvlLbl val="0"/>
      </c:catAx>
      <c:valAx>
        <c:axId val="164864384"/>
        <c:scaling>
          <c:orientation val="minMax"/>
        </c:scaling>
        <c:delete val="0"/>
        <c:axPos val="l"/>
        <c:majorGridlines/>
        <c:numFmt formatCode="#,##0" sourceLinked="1"/>
        <c:majorTickMark val="out"/>
        <c:minorTickMark val="none"/>
        <c:tickLblPos val="nextTo"/>
        <c:crossAx val="1647560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C3DA0-9B3D-494F-9AB0-B2E746B4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154</Words>
  <Characters>879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2020-03-20T07:00:00Z</cp:lastPrinted>
  <dcterms:created xsi:type="dcterms:W3CDTF">2020-03-20T05:40:00Z</dcterms:created>
  <dcterms:modified xsi:type="dcterms:W3CDTF">2020-03-20T12:01:00Z</dcterms:modified>
</cp:coreProperties>
</file>