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2F3A4" w14:textId="018B9598" w:rsidR="006C1976" w:rsidRPr="00057058" w:rsidRDefault="006C1976" w:rsidP="006C1976">
      <w:pPr>
        <w:jc w:val="center"/>
        <w:rPr>
          <w:rFonts w:cstheme="minorHAnsi"/>
          <w:b/>
          <w:bCs/>
          <w:color w:val="FF0000"/>
          <w:sz w:val="38"/>
          <w:szCs w:val="38"/>
        </w:rPr>
      </w:pPr>
      <w:r w:rsidRPr="00057058">
        <w:rPr>
          <w:rFonts w:cstheme="minorHAnsi"/>
          <w:b/>
          <w:bCs/>
          <w:color w:val="FF0000"/>
          <w:sz w:val="46"/>
          <w:szCs w:val="46"/>
        </w:rPr>
        <w:t>ДЕФИЦИТ ПОСТУПЛЕНИЙ ДЕНЕЖНЫХ СРЕДСТ</w:t>
      </w:r>
      <w:r w:rsidR="00057058" w:rsidRPr="00057058">
        <w:rPr>
          <w:rFonts w:cstheme="minorHAnsi"/>
          <w:b/>
          <w:bCs/>
          <w:color w:val="FF0000"/>
          <w:sz w:val="46"/>
          <w:szCs w:val="46"/>
        </w:rPr>
        <w:t>В</w:t>
      </w:r>
    </w:p>
    <w:p w14:paraId="058DCFE1" w14:textId="2F86CD28" w:rsidR="000723A2" w:rsidRDefault="000723A2" w:rsidP="000723A2">
      <w:pPr>
        <w:jc w:val="center"/>
        <w:rPr>
          <w:rFonts w:cstheme="minorHAnsi"/>
        </w:rPr>
      </w:pPr>
      <w:r>
        <w:rPr>
          <w:noProof/>
          <w:lang w:eastAsia="ru-RU"/>
        </w:rPr>
        <w:drawing>
          <wp:inline distT="0" distB="0" distL="0" distR="0" wp14:anchorId="74DD88B3" wp14:editId="71D234DC">
            <wp:extent cx="6089650" cy="3917950"/>
            <wp:effectExtent l="0" t="0" r="25400" b="254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F8B2E20" w14:textId="789A6BE9" w:rsidR="00502E22" w:rsidRPr="006C1976" w:rsidRDefault="00502E22" w:rsidP="00502E22">
      <w:pPr>
        <w:jc w:val="both"/>
        <w:rPr>
          <w:rFonts w:cstheme="minorHAnsi"/>
          <w:sz w:val="34"/>
          <w:szCs w:val="34"/>
        </w:rPr>
      </w:pPr>
      <w:r w:rsidRPr="006C1976">
        <w:rPr>
          <w:rFonts w:cstheme="minorHAnsi"/>
          <w:sz w:val="34"/>
          <w:szCs w:val="34"/>
        </w:rPr>
        <w:t>Если бы было исполнение по внесению целевых средств согласно количества фактически заключенных договоров(по 300</w:t>
      </w:r>
      <w:r w:rsidR="006C1976" w:rsidRPr="006C1976">
        <w:rPr>
          <w:rFonts w:cstheme="minorHAnsi"/>
          <w:sz w:val="34"/>
          <w:szCs w:val="34"/>
        </w:rPr>
        <w:t xml:space="preserve"> </w:t>
      </w:r>
      <w:r w:rsidRPr="006C1976">
        <w:rPr>
          <w:rFonts w:cstheme="minorHAnsi"/>
          <w:sz w:val="34"/>
          <w:szCs w:val="34"/>
        </w:rPr>
        <w:t>000руб. с договора установленного по заключенным до 01.01.2018г.и полностью оплаченные), расходы на создание объектов инфраструктуры и общехозяйственные расходы (включенные в целевой фонд до 01.01.2018г.) не были бы превышены ни в один из годов и не была бы образована задолженность перед подрядчиками по фактически выполненным работам. Т.е. в распоряжении ДНП могло бы дополнительно остаться средств по состоянию на 01.01.2020г.,</w:t>
      </w:r>
      <w:r w:rsidR="006C1976" w:rsidRPr="006C1976">
        <w:rPr>
          <w:rFonts w:cstheme="minorHAnsi"/>
          <w:sz w:val="34"/>
          <w:szCs w:val="34"/>
        </w:rPr>
        <w:t xml:space="preserve"> </w:t>
      </w:r>
      <w:r w:rsidRPr="006C1976">
        <w:rPr>
          <w:rFonts w:cstheme="minorHAnsi"/>
          <w:sz w:val="34"/>
          <w:szCs w:val="34"/>
        </w:rPr>
        <w:t xml:space="preserve">даже при условии внесения части целевых средств имуществом. При том, что работы в рассрочку и с отсрочкой платежа выполнялись только ООО «Сельский Век», другие контрагенты предоставляли услуги без отсрочек и оплачены полностью. Все предпринятые действия предоставили возможность для ДНП не только создания инфраструктуры но и ее функционирование (использование) еще до 01.01.2018г. </w:t>
      </w:r>
      <w:bookmarkStart w:id="0" w:name="_GoBack"/>
      <w:bookmarkEnd w:id="0"/>
    </w:p>
    <w:p w14:paraId="446771F2" w14:textId="77777777" w:rsidR="00502E22" w:rsidRDefault="00502E22" w:rsidP="000723A2">
      <w:pPr>
        <w:jc w:val="center"/>
        <w:rPr>
          <w:rFonts w:cstheme="minorHAnsi"/>
        </w:rPr>
      </w:pPr>
    </w:p>
    <w:sectPr w:rsidR="00502E22" w:rsidSect="005F70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5E"/>
    <w:rsid w:val="00057058"/>
    <w:rsid w:val="000723A2"/>
    <w:rsid w:val="00166B08"/>
    <w:rsid w:val="002907BA"/>
    <w:rsid w:val="00502E22"/>
    <w:rsid w:val="006C1976"/>
    <w:rsid w:val="007B1E18"/>
    <w:rsid w:val="007B21EE"/>
    <w:rsid w:val="009E2709"/>
    <w:rsid w:val="00C11C7B"/>
    <w:rsid w:val="00CA537E"/>
    <w:rsid w:val="00E8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215A"/>
  <w15:chartTrackingRefBased/>
  <w15:docId w15:val="{7300AB5D-E75A-4162-B9AF-6840CF1C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%20&#1076;&#1080;&#1089;&#1082;&#1072;%20F\&#1088;&#1086;&#1089;&#1090;&#1086;&#1074;\&#1059;&#1089;&#1072;&#1076;&#1100;&#1073;&#1072;\&#1059;&#1089;&#1072;&#1076;&#1100;&#1073;&#1072;&#1089;&#1084;&#1077;&#1090;&#1099;\&#1050;&#1086;&#1087;&#1080;&#1103;%20&#1050;&#1086;&#1087;&#1080;&#1103;%20&#1072;&#1085;&#1072;&#1083;&#1080;&#1079;%20&#1059;&#1089;&#1072;&#1076;&#1100;&#1073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91695279230311"/>
          <c:y val="5.2153909911058678E-2"/>
          <c:w val="0.59023557340386368"/>
          <c:h val="0.85674774458860659"/>
        </c:manualLayout>
      </c:layout>
      <c:line3DChart>
        <c:grouping val="standard"/>
        <c:varyColors val="0"/>
        <c:ser>
          <c:idx val="0"/>
          <c:order val="0"/>
          <c:tx>
            <c:strRef>
              <c:f>ИВ!$A$79</c:f>
              <c:strCache>
                <c:ptCount val="1"/>
                <c:pt idx="0">
                  <c:v>план поступления целевых средств по колич.закл.дог.нарост.итогом</c:v>
                </c:pt>
              </c:strCache>
            </c:strRef>
          </c:tx>
          <c:dLbls>
            <c:dLbl>
              <c:idx val="0"/>
              <c:layout>
                <c:manualLayout>
                  <c:x val="-4.930662557781202E-2"/>
                  <c:y val="-6.4777327935222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0C-4871-B09A-5ABAE587CF11}"/>
                </c:ext>
              </c:extLst>
            </c:dLbl>
            <c:dLbl>
              <c:idx val="1"/>
              <c:layout>
                <c:manualLayout>
                  <c:x val="-6.5742167437082694E-2"/>
                  <c:y val="-4.5344129554655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0C-4871-B09A-5ABAE587CF11}"/>
                </c:ext>
              </c:extLst>
            </c:dLbl>
            <c:dLbl>
              <c:idx val="2"/>
              <c:layout>
                <c:manualLayout>
                  <c:x val="-9.4504365690806363E-2"/>
                  <c:y val="-2.5910931174089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0C-4871-B09A-5ABAE587CF11}"/>
                </c:ext>
              </c:extLst>
            </c:dLbl>
            <c:dLbl>
              <c:idx val="3"/>
              <c:layout>
                <c:manualLayout>
                  <c:x val="-0.10477657935285054"/>
                  <c:y val="-2.9149797570850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0C-4871-B09A-5ABAE587CF11}"/>
                </c:ext>
              </c:extLst>
            </c:dLbl>
            <c:dLbl>
              <c:idx val="4"/>
              <c:layout>
                <c:manualLayout>
                  <c:x val="-9.6558808423215209E-2"/>
                  <c:y val="-5.8299595141700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0C-4871-B09A-5ABAE587CF11}"/>
                </c:ext>
              </c:extLst>
            </c:dLbl>
            <c:dLbl>
              <c:idx val="5"/>
              <c:layout>
                <c:manualLayout>
                  <c:x val="-8.0123266563944529E-2"/>
                  <c:y val="-4.2105263157894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0C-4871-B09A-5ABAE587CF11}"/>
                </c:ext>
              </c:extLst>
            </c:dLbl>
            <c:dLbl>
              <c:idx val="6"/>
              <c:layout>
                <c:manualLayout>
                  <c:x val="-3.0816640986132512E-2"/>
                  <c:y val="-5.8299595141700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90C-4871-B09A-5ABAE587CF11}"/>
                </c:ext>
              </c:extLst>
            </c:dLbl>
            <c:dLbl>
              <c:idx val="7"/>
              <c:layout>
                <c:manualLayout>
                  <c:x val="-2.2598870056497175E-2"/>
                  <c:y val="-6.1538461538461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0C-4871-B09A-5ABAE587CF1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ИВ!$B$78:$I$78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ИВ!$B$79:$I$79</c:f>
              <c:numCache>
                <c:formatCode>General</c:formatCode>
                <c:ptCount val="8"/>
                <c:pt idx="0">
                  <c:v>20100000</c:v>
                </c:pt>
                <c:pt idx="1">
                  <c:v>46800000</c:v>
                </c:pt>
                <c:pt idx="2">
                  <c:v>81000000</c:v>
                </c:pt>
                <c:pt idx="3">
                  <c:v>133500000</c:v>
                </c:pt>
                <c:pt idx="4">
                  <c:v>153300000</c:v>
                </c:pt>
                <c:pt idx="5">
                  <c:v>178200000</c:v>
                </c:pt>
                <c:pt idx="6">
                  <c:v>201900000</c:v>
                </c:pt>
                <c:pt idx="7">
                  <c:v>213900000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490C-4871-B09A-5ABAE587CF11}"/>
            </c:ext>
          </c:extLst>
        </c:ser>
        <c:ser>
          <c:idx val="1"/>
          <c:order val="1"/>
          <c:tx>
            <c:strRef>
              <c:f>ИВ!$A$80</c:f>
              <c:strCache>
                <c:ptCount val="1"/>
                <c:pt idx="0">
                  <c:v> расходование целевого фонда в т.ч. на сооруж. объектов : электроснабжения, газоснабжения, водоснабжения, дороги, видеонаблюдени, РУБ,</c:v>
                </c:pt>
              </c:strCache>
            </c:strRef>
          </c:tx>
          <c:dLbls>
            <c:dLbl>
              <c:idx val="6"/>
              <c:layout>
                <c:manualLayout>
                  <c:x val="4.519774011299435E-2"/>
                  <c:y val="6.47773279352226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90C-4871-B09A-5ABAE587CF11}"/>
                </c:ext>
              </c:extLst>
            </c:dLbl>
            <c:dLbl>
              <c:idx val="7"/>
              <c:layout>
                <c:manualLayout>
                  <c:x val="-1.8489984591679508E-2"/>
                  <c:y val="-3.2388663967611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90C-4871-B09A-5ABAE587CF1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ИВ!$B$78:$I$78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ИВ!$B$80:$I$80</c:f>
              <c:numCache>
                <c:formatCode>#,##0</c:formatCode>
                <c:ptCount val="8"/>
                <c:pt idx="0">
                  <c:v>2524960.2099999995</c:v>
                </c:pt>
                <c:pt idx="1">
                  <c:v>15314038.74</c:v>
                </c:pt>
                <c:pt idx="2">
                  <c:v>77089371.310000002</c:v>
                </c:pt>
                <c:pt idx="3">
                  <c:v>122328555.59999999</c:v>
                </c:pt>
                <c:pt idx="4">
                  <c:v>137312215.68000001</c:v>
                </c:pt>
                <c:pt idx="5">
                  <c:v>147878394.67000002</c:v>
                </c:pt>
                <c:pt idx="6">
                  <c:v>161374865.78000003</c:v>
                </c:pt>
                <c:pt idx="7">
                  <c:v>193674865.78000003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490C-4871-B09A-5ABAE587CF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473472"/>
        <c:axId val="76475008"/>
        <c:axId val="76563776"/>
      </c:line3DChart>
      <c:catAx>
        <c:axId val="7647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6475008"/>
        <c:crosses val="autoZero"/>
        <c:auto val="1"/>
        <c:lblAlgn val="ctr"/>
        <c:lblOffset val="100"/>
        <c:noMultiLvlLbl val="0"/>
      </c:catAx>
      <c:valAx>
        <c:axId val="7647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473472"/>
        <c:crosses val="autoZero"/>
        <c:crossBetween val="between"/>
      </c:valAx>
      <c:serAx>
        <c:axId val="76563776"/>
        <c:scaling>
          <c:orientation val="minMax"/>
        </c:scaling>
        <c:delete val="1"/>
        <c:axPos val="b"/>
        <c:majorTickMark val="out"/>
        <c:minorTickMark val="none"/>
        <c:tickLblPos val="nextTo"/>
        <c:crossAx val="76475008"/>
        <c:crosses val="autoZero"/>
      </c:serAx>
    </c:plotArea>
    <c:legend>
      <c:legendPos val="r"/>
      <c:layout>
        <c:manualLayout>
          <c:xMode val="edge"/>
          <c:yMode val="edge"/>
          <c:x val="0.78333333333333333"/>
          <c:y val="0.19638706620005833"/>
          <c:w val="0.2"/>
          <c:h val="0.7507443861184017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B546E-1335-4DDB-914D-8388DC9D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2020-03-20T07:00:00Z</cp:lastPrinted>
  <dcterms:created xsi:type="dcterms:W3CDTF">2020-03-20T05:40:00Z</dcterms:created>
  <dcterms:modified xsi:type="dcterms:W3CDTF">2020-03-20T12:00:00Z</dcterms:modified>
</cp:coreProperties>
</file>