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2219" w14:textId="497A96D7" w:rsidR="002907BA" w:rsidRPr="002907BA" w:rsidRDefault="000723A2" w:rsidP="002907BA">
      <w:pPr>
        <w:jc w:val="center"/>
        <w:rPr>
          <w:rFonts w:cstheme="minorHAnsi"/>
          <w:sz w:val="52"/>
          <w:szCs w:val="52"/>
        </w:rPr>
      </w:pPr>
      <w:r w:rsidRPr="002907BA">
        <w:rPr>
          <w:rFonts w:cstheme="minorHAnsi"/>
          <w:b/>
          <w:bCs/>
          <w:color w:val="C00000"/>
          <w:sz w:val="52"/>
          <w:szCs w:val="52"/>
        </w:rPr>
        <w:t>Не до поступление целевых средств связано</w:t>
      </w:r>
      <w:r w:rsidRPr="002907BA">
        <w:rPr>
          <w:rFonts w:cstheme="minorHAnsi"/>
          <w:sz w:val="52"/>
          <w:szCs w:val="52"/>
        </w:rPr>
        <w:t>:</w:t>
      </w:r>
    </w:p>
    <w:p w14:paraId="6D280B48" w14:textId="1011E656" w:rsidR="000723A2" w:rsidRDefault="000723A2" w:rsidP="000723A2">
      <w:pPr>
        <w:jc w:val="both"/>
        <w:rPr>
          <w:rFonts w:cstheme="minorHAnsi"/>
          <w:sz w:val="46"/>
          <w:szCs w:val="46"/>
        </w:rPr>
      </w:pPr>
      <w:r w:rsidRPr="00502E22">
        <w:rPr>
          <w:rFonts w:cstheme="minorHAnsi"/>
          <w:sz w:val="46"/>
          <w:szCs w:val="46"/>
        </w:rPr>
        <w:t xml:space="preserve">с отсутствием продаж участков по отношению к запланированному периоду (начиная с 2012 года и далее), а также с заключением договоров «На участие…в ДНП» с оплатой в рассрочку, усугубленных </w:t>
      </w:r>
      <w:proofErr w:type="gramStart"/>
      <w:r w:rsidRPr="00502E22">
        <w:rPr>
          <w:rFonts w:cstheme="minorHAnsi"/>
          <w:sz w:val="46"/>
          <w:szCs w:val="46"/>
        </w:rPr>
        <w:t>не исполнением</w:t>
      </w:r>
      <w:proofErr w:type="gramEnd"/>
      <w:r w:rsidRPr="00502E22">
        <w:rPr>
          <w:rFonts w:cstheme="minorHAnsi"/>
          <w:sz w:val="46"/>
          <w:szCs w:val="46"/>
        </w:rPr>
        <w:t xml:space="preserve"> обязательств по графику уплаты по факту заключенных договоров. Что привело по факту не </w:t>
      </w:r>
      <w:proofErr w:type="spellStart"/>
      <w:r w:rsidRPr="00502E22">
        <w:rPr>
          <w:rFonts w:cstheme="minorHAnsi"/>
          <w:sz w:val="46"/>
          <w:szCs w:val="46"/>
        </w:rPr>
        <w:t>доформирование</w:t>
      </w:r>
      <w:proofErr w:type="spellEnd"/>
      <w:r w:rsidRPr="00502E22">
        <w:rPr>
          <w:rFonts w:cstheme="minorHAnsi"/>
          <w:sz w:val="46"/>
          <w:szCs w:val="46"/>
        </w:rPr>
        <w:t xml:space="preserve"> целевого фонда т.е. фактическое поступление средств значительно ниже должного уровня, наглядно приведено на следующем рисунке:</w:t>
      </w:r>
    </w:p>
    <w:p w14:paraId="3445CA12" w14:textId="77777777" w:rsidR="000723A2" w:rsidRDefault="000723A2" w:rsidP="000723A2">
      <w:pPr>
        <w:jc w:val="center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7E272587" wp14:editId="3ED7B8E9">
            <wp:extent cx="5842000" cy="3660776"/>
            <wp:effectExtent l="0" t="0" r="2540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AAC1DE6" w14:textId="7EF98048" w:rsidR="00502E22" w:rsidRDefault="00502E22" w:rsidP="000723A2">
      <w:pPr>
        <w:jc w:val="both"/>
        <w:rPr>
          <w:rFonts w:cstheme="minorHAnsi"/>
          <w:sz w:val="38"/>
          <w:szCs w:val="38"/>
        </w:rPr>
      </w:pPr>
    </w:p>
    <w:p w14:paraId="44BB439D" w14:textId="1439CB43" w:rsidR="002907BA" w:rsidRDefault="002907BA" w:rsidP="000723A2">
      <w:pPr>
        <w:jc w:val="both"/>
        <w:rPr>
          <w:rFonts w:cstheme="minorHAnsi"/>
          <w:sz w:val="38"/>
          <w:szCs w:val="38"/>
        </w:rPr>
      </w:pPr>
    </w:p>
    <w:p w14:paraId="08379519" w14:textId="77777777" w:rsidR="002907BA" w:rsidRDefault="002907BA" w:rsidP="000723A2">
      <w:pPr>
        <w:jc w:val="both"/>
        <w:rPr>
          <w:rFonts w:cstheme="minorHAnsi"/>
          <w:sz w:val="38"/>
          <w:szCs w:val="38"/>
        </w:rPr>
      </w:pPr>
      <w:bookmarkStart w:id="0" w:name="_GoBack"/>
      <w:bookmarkEnd w:id="0"/>
    </w:p>
    <w:sectPr w:rsidR="002907BA" w:rsidSect="005F7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E"/>
    <w:rsid w:val="00057058"/>
    <w:rsid w:val="000723A2"/>
    <w:rsid w:val="00166B08"/>
    <w:rsid w:val="002907BA"/>
    <w:rsid w:val="00502E22"/>
    <w:rsid w:val="006C1976"/>
    <w:rsid w:val="007B21EE"/>
    <w:rsid w:val="009E2709"/>
    <w:rsid w:val="00A4036F"/>
    <w:rsid w:val="00CA537E"/>
    <w:rsid w:val="00E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15A"/>
  <w15:chartTrackingRefBased/>
  <w15:docId w15:val="{7300AB5D-E75A-4162-B9AF-6840CF1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%20&#1076;&#1080;&#1089;&#1082;&#1072;%20F\&#1088;&#1086;&#1089;&#1090;&#1086;&#1074;\&#1059;&#1089;&#1072;&#1076;&#1100;&#1073;&#1072;\&#1059;&#1089;&#1072;&#1076;&#1100;&#1073;&#1072;&#1089;&#1084;&#1077;&#1090;&#1099;\&#1050;&#1086;&#1087;&#1080;&#1103;%20&#1050;&#1086;&#1087;&#1080;&#1103;%20&#1072;&#1085;&#1072;&#1083;&#1080;&#1079;%20&#1059;&#1089;&#1072;&#1076;&#1100;&#1073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043963254593172E-2"/>
          <c:y val="7.4548702245552642E-2"/>
          <c:w val="0.63566087159897089"/>
          <c:h val="0.78278032954214061"/>
        </c:manualLayout>
      </c:layout>
      <c:area3DChart>
        <c:grouping val="percentStacked"/>
        <c:varyColors val="0"/>
        <c:ser>
          <c:idx val="0"/>
          <c:order val="0"/>
          <c:tx>
            <c:strRef>
              <c:f>ИВ!$A$52</c:f>
              <c:strCache>
                <c:ptCount val="1"/>
                <c:pt idx="0">
                  <c:v>нарост.итогом фактич.поступление целевых средств</c:v>
                </c:pt>
              </c:strCache>
            </c:strRef>
          </c:tx>
          <c:dLbls>
            <c:dLbl>
              <c:idx val="0"/>
              <c:layout>
                <c:manualLayout>
                  <c:x val="1.9801980198019802E-2"/>
                  <c:y val="2.775367845505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05-4875-B605-B69A0F39DD7E}"/>
                </c:ext>
              </c:extLst>
            </c:dLbl>
            <c:dLbl>
              <c:idx val="3"/>
              <c:layout>
                <c:manualLayout>
                  <c:x val="-7.9207920792079209E-3"/>
                  <c:y val="5.8976566717002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05-4875-B605-B69A0F39DD7E}"/>
                </c:ext>
              </c:extLst>
            </c:dLbl>
            <c:dLbl>
              <c:idx val="5"/>
              <c:layout>
                <c:manualLayout>
                  <c:x val="-1.1881188118811881E-2"/>
                  <c:y val="6.5914986330767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05-4875-B605-B69A0F39DD7E}"/>
                </c:ext>
              </c:extLst>
            </c:dLbl>
            <c:dLbl>
              <c:idx val="7"/>
              <c:layout>
                <c:manualLayout>
                  <c:x val="-7.9207920792079209E-3"/>
                  <c:y val="7.6322615751414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05-4875-B605-B69A0F39DD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ИВ!$B$51:$I$51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ИВ!$B$52:$I$52</c:f>
              <c:numCache>
                <c:formatCode>#,##0</c:formatCode>
                <c:ptCount val="8"/>
                <c:pt idx="0">
                  <c:v>2363000</c:v>
                </c:pt>
                <c:pt idx="1">
                  <c:v>14444069.609999999</c:v>
                </c:pt>
                <c:pt idx="2">
                  <c:v>64855513.159999996</c:v>
                </c:pt>
                <c:pt idx="3">
                  <c:v>91993551.359999999</c:v>
                </c:pt>
                <c:pt idx="4">
                  <c:v>110772857.70999999</c:v>
                </c:pt>
                <c:pt idx="5">
                  <c:v>125869924.31</c:v>
                </c:pt>
                <c:pt idx="6">
                  <c:v>128186324.31</c:v>
                </c:pt>
                <c:pt idx="7">
                  <c:v>161863588.43000001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05-4875-B605-B69A0F39DD7E}"/>
            </c:ext>
          </c:extLst>
        </c:ser>
        <c:ser>
          <c:idx val="1"/>
          <c:order val="1"/>
          <c:tx>
            <c:strRef>
              <c:f>ИВ!$A$53</c:f>
              <c:strCache>
                <c:ptCount val="1"/>
                <c:pt idx="0">
                  <c:v>план поступления целевых средств по колич.закл.дог.нарост.итогом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-0.121422343240886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05-4875-B605-B69A0F39DD7E}"/>
                </c:ext>
              </c:extLst>
            </c:dLbl>
            <c:dLbl>
              <c:idx val="5"/>
              <c:layout>
                <c:manualLayout>
                  <c:x val="-7.9207920792079209E-3"/>
                  <c:y val="-0.121422343240886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05-4875-B605-B69A0F39DD7E}"/>
                </c:ext>
              </c:extLst>
            </c:dLbl>
            <c:dLbl>
              <c:idx val="7"/>
              <c:layout>
                <c:manualLayout>
                  <c:x val="-1.5841584158415842E-2"/>
                  <c:y val="-0.176929700151006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05-4875-B605-B69A0F39DD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ИВ!$B$51:$I$51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ИВ!$B$53:$I$53</c:f>
              <c:numCache>
                <c:formatCode>General</c:formatCode>
                <c:ptCount val="8"/>
                <c:pt idx="0">
                  <c:v>20100000</c:v>
                </c:pt>
                <c:pt idx="1">
                  <c:v>46800000</c:v>
                </c:pt>
                <c:pt idx="2">
                  <c:v>81000000</c:v>
                </c:pt>
                <c:pt idx="3">
                  <c:v>133500000</c:v>
                </c:pt>
                <c:pt idx="4">
                  <c:v>153300000</c:v>
                </c:pt>
                <c:pt idx="5">
                  <c:v>178200000</c:v>
                </c:pt>
                <c:pt idx="6">
                  <c:v>201900000</c:v>
                </c:pt>
                <c:pt idx="7">
                  <c:v>213900000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05-4875-B605-B69A0F39DD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441472"/>
        <c:axId val="76443008"/>
        <c:axId val="0"/>
      </c:area3DChart>
      <c:catAx>
        <c:axId val="7644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443008"/>
        <c:crosses val="autoZero"/>
        <c:auto val="1"/>
        <c:lblAlgn val="ctr"/>
        <c:lblOffset val="100"/>
        <c:noMultiLvlLbl val="0"/>
      </c:catAx>
      <c:valAx>
        <c:axId val="76443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4414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32286582989008"/>
          <c:y val="3.4237204724409449E-2"/>
          <c:w val="0.16489015358228737"/>
          <c:h val="0.861080508908632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7560-0B77-4DC7-9858-B1A046B0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2020-03-20T07:00:00Z</cp:lastPrinted>
  <dcterms:created xsi:type="dcterms:W3CDTF">2020-03-20T05:40:00Z</dcterms:created>
  <dcterms:modified xsi:type="dcterms:W3CDTF">2020-03-20T07:21:00Z</dcterms:modified>
</cp:coreProperties>
</file>