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A" w:rsidRPr="005C4D46" w:rsidRDefault="00E56A9A" w:rsidP="00E56A9A">
      <w:pPr>
        <w:spacing w:line="336" w:lineRule="atLeast"/>
        <w:ind w:firstLine="709"/>
        <w:jc w:val="right"/>
        <w:rPr>
          <w:rFonts w:eastAsia="Times New Roman" w:cs="Times New Roman"/>
          <w:sz w:val="28"/>
          <w:szCs w:val="28"/>
        </w:rPr>
      </w:pPr>
      <w:r w:rsidRPr="005C4D46">
        <w:rPr>
          <w:rFonts w:eastAsia="Times New Roman" w:cs="Times New Roman"/>
          <w:sz w:val="28"/>
          <w:szCs w:val="28"/>
        </w:rPr>
        <w:t>ПРОЕКТ</w:t>
      </w:r>
    </w:p>
    <w:p w:rsidR="00E56A9A" w:rsidRPr="005C4D46" w:rsidRDefault="00E56A9A" w:rsidP="00E56A9A">
      <w:pPr>
        <w:spacing w:line="336" w:lineRule="atLeast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 xml:space="preserve">ПРАВИЛА Энергоснабжения </w:t>
      </w:r>
    </w:p>
    <w:p w:rsidR="00E56A9A" w:rsidRPr="005C4D46" w:rsidRDefault="00E56A9A" w:rsidP="00E56A9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>ОТ объектов ЭЛЕКТРОСЕТЕВОГО ХОЗЯЙСТВА днп «аГРО-КЛУБ уСАДЬБА»</w:t>
      </w:r>
    </w:p>
    <w:p w:rsidR="00E56A9A" w:rsidRPr="005C4D46" w:rsidRDefault="00E56A9A" w:rsidP="00E56A9A">
      <w:pPr>
        <w:spacing w:line="336" w:lineRule="atLeast"/>
        <w:ind w:firstLine="709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Используемые понятия: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Правила энергоснабжения</w:t>
      </w:r>
      <w:r w:rsidRPr="005C4D46">
        <w:rPr>
          <w:rFonts w:cs="Times New Roman"/>
          <w:sz w:val="28"/>
          <w:szCs w:val="28"/>
        </w:rPr>
        <w:t xml:space="preserve"> – документ, в котором определен регламент использования имущества партнерства, согласно которому, участники процесса энергоснабжения обязуются взаимодействовать в соответствии с требованиями, установленными настоящими правилами. 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Дачное некоммерческое партнерство «Агро-клуб Усадьба», </w:t>
      </w:r>
      <w:r w:rsidRPr="005C4D46">
        <w:rPr>
          <w:rFonts w:cs="Times New Roman"/>
          <w:b/>
          <w:sz w:val="28"/>
          <w:szCs w:val="28"/>
        </w:rPr>
        <w:t>далее Партнерство,</w:t>
      </w:r>
      <w:r w:rsidRPr="005C4D46">
        <w:rPr>
          <w:rFonts w:cs="Times New Roman"/>
          <w:sz w:val="28"/>
          <w:szCs w:val="28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необходимого для обеспечения электро-, водо- и газоснабжения существующих и проектируемых жилых домов собственниками земельных участков, к которым переходят права на земельные участки в результате сделок с земельными участками (купля-продажа, дарение, пр..) расположенных в границах партнерства по Генеральному плану Ольгинского сельского поселения.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Партнерство не является сетевой организацией, не состоит в договорных отношениях по оказанию услуг по передаче электрической энергии с Гарантирующим поставщиком, осуществляет подключение энергопринимающих устройств членов (участников) партнерства к  централизованным электрическим сетям Сетевой организации через объекты электросетевого хозяйства партнёрства.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Партнерство технологически присоединено к централизованным электрическим сетям Сетевой организации (Точка присоединения на изоляторах опоры  9/33 ВЛ -10 кВ №101 от ПС 110/35 кВ АС-1), приобретает электрическую энергию (мощность) в целях компенсации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хозяйства, и выступает в этом случае как потребитель.</w:t>
      </w:r>
    </w:p>
    <w:p w:rsidR="00E56A9A" w:rsidRPr="005C4D46" w:rsidRDefault="00E56A9A" w:rsidP="00E56A9A">
      <w:pPr>
        <w:ind w:firstLine="708"/>
        <w:jc w:val="both"/>
        <w:rPr>
          <w:rFonts w:cs="Times New Roman"/>
          <w:sz w:val="28"/>
          <w:szCs w:val="28"/>
          <w:bdr w:val="none" w:sz="0" w:space="0" w:color="auto" w:frame="1"/>
        </w:rPr>
      </w:pPr>
      <w:r w:rsidRPr="005C4D46">
        <w:rPr>
          <w:rFonts w:cs="Times New Roman"/>
          <w:b/>
          <w:bCs/>
          <w:sz w:val="28"/>
          <w:szCs w:val="28"/>
          <w:bdr w:val="none" w:sz="0" w:space="0" w:color="auto" w:frame="1"/>
        </w:rPr>
        <w:t>Потери электрической энергии в электрических сетях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t xml:space="preserve">– объем электрической энергии, приобретаемой Партнерством в целях компенсации потерь электрической энергии, определяемый как разница между объемом электрической энергии, поставленной в электрическую сеть Партнерства в точке поставки из других сетей и объемом электрической энергии, потреблённой энергопринимающими устройствами Потребителей (членов 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lastRenderedPageBreak/>
        <w:t xml:space="preserve">(участников)) партнерства, объектами </w:t>
      </w:r>
      <w:r w:rsidRPr="005C4D46">
        <w:rPr>
          <w:rFonts w:cs="Times New Roman"/>
          <w:sz w:val="28"/>
          <w:szCs w:val="28"/>
        </w:rPr>
        <w:t xml:space="preserve"> инфраструктуры и другого имущества общего пользования партнерства</w:t>
      </w:r>
      <w:r w:rsidRPr="005C4D46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Потребитель 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Усадьба». </w:t>
      </w:r>
    </w:p>
    <w:p w:rsidR="00E56A9A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Потребитель </w:t>
      </w:r>
      <w:r>
        <w:rPr>
          <w:rFonts w:cs="Times New Roman"/>
          <w:sz w:val="28"/>
          <w:szCs w:val="28"/>
        </w:rPr>
        <w:t>–</w:t>
      </w:r>
      <w:r w:rsidRPr="005C4D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юридическое </w:t>
      </w:r>
      <w:r w:rsidRPr="005C4D46">
        <w:rPr>
          <w:rFonts w:cs="Times New Roman"/>
          <w:sz w:val="28"/>
          <w:szCs w:val="28"/>
        </w:rPr>
        <w:t xml:space="preserve">лицо (в соответствии с действующим законодательством), имеющее земельный участок на праве собственности в границах ДНП «Агро-клуб Усадьба». 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sz w:val="28"/>
          <w:szCs w:val="28"/>
        </w:rPr>
        <w:t>Партнерство является инициатором по вводу ограничения режима потребления энергопринимающих устройств Потребителя, подключенного (присоединенного) к объектам электросетевого хозяйства в соответствии с настоящими Правилами.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Объекты электросетевого хозяйства</w:t>
      </w:r>
      <w:r w:rsidRPr="005C4D46">
        <w:rPr>
          <w:rFonts w:cs="Times New Roman"/>
          <w:sz w:val="28"/>
          <w:szCs w:val="28"/>
        </w:rPr>
        <w:t xml:space="preserve"> – имущество общего пользования, созданное (приобретенное) Партнерством для обеспечения Потребителя электрической энергией в хозяйственно-бытовых целях, в том числе линии электропередачи, трансформаторные подстанции, пункты коммерческого учета,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Сетевая организация</w:t>
      </w:r>
      <w:r w:rsidRPr="005C4D46">
        <w:rPr>
          <w:rFonts w:cs="Times New Roman"/>
          <w:sz w:val="28"/>
          <w:szCs w:val="28"/>
        </w:rPr>
        <w:t xml:space="preserve"> - коммерческая организация, оказывающая услуги по передаче электрической энергии, состоящая в договорных отношениях по оказанию этих услуг с Гарантирующим поставщиком;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Гарантирующий поставщик</w:t>
      </w:r>
      <w:r w:rsidRPr="005C4D46">
        <w:rPr>
          <w:rFonts w:cs="Times New Roman"/>
          <w:sz w:val="28"/>
          <w:szCs w:val="28"/>
        </w:rPr>
        <w:t xml:space="preserve"> - коммерческая организация, обязанная в соответствии с законом или добровольно принятыми обязательствами заключить на территории своей зоны деятельности договор энергоснабжения.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Энергопринимающие устройства Потребителя</w:t>
      </w:r>
      <w:r w:rsidRPr="005C4D46">
        <w:rPr>
          <w:rFonts w:cs="Times New Roman"/>
          <w:sz w:val="28"/>
          <w:szCs w:val="28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связи;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 xml:space="preserve">Точки поставки Потребителя </w:t>
      </w:r>
      <w:r w:rsidRPr="005C4D46">
        <w:rPr>
          <w:rFonts w:cs="Times New Roman"/>
          <w:sz w:val="28"/>
          <w:szCs w:val="28"/>
        </w:rPr>
        <w:t>- место исполнения обязательств Гарантирующего поставщика перед Потребителем по поставке электрической энергии (индивидуальный узел учета электрической энергии потребителя).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Точка поставки Партнерства</w:t>
      </w:r>
      <w:r w:rsidRPr="005C4D46">
        <w:rPr>
          <w:rFonts w:cs="Times New Roman"/>
          <w:sz w:val="28"/>
          <w:szCs w:val="28"/>
        </w:rPr>
        <w:t xml:space="preserve"> - место исполнения обязательств Гарантирующего поставщика перед Партнерством по поставке электрической </w:t>
      </w:r>
      <w:r w:rsidRPr="005C4D46">
        <w:rPr>
          <w:rFonts w:cs="Times New Roman"/>
          <w:sz w:val="28"/>
          <w:szCs w:val="28"/>
        </w:rPr>
        <w:lastRenderedPageBreak/>
        <w:t>энергии Партнерству (опора № 9/33, ВЛ 10 кВ № 101 ПС 110/35/10 кВ АС-1 электрических сетей ПАО "МРСК Юга", ПКУ РИМ 489.17 (заводской номер 01176916).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b/>
          <w:sz w:val="28"/>
          <w:szCs w:val="28"/>
        </w:rPr>
        <w:t xml:space="preserve">Самовольное подключение </w:t>
      </w:r>
      <w:r w:rsidRPr="005C4D46">
        <w:rPr>
          <w:sz w:val="28"/>
          <w:szCs w:val="28"/>
        </w:rPr>
        <w:t xml:space="preserve">– </w:t>
      </w:r>
      <w:r w:rsidRPr="005C4D46">
        <w:rPr>
          <w:rFonts w:cs="Times New Roman"/>
          <w:sz w:val="28"/>
          <w:szCs w:val="28"/>
        </w:rPr>
        <w:t>подключение к объектам электросетевого хозяйства партнёрства без выполнения мероприятий  по подключению энергопринимающих устройств Потребителя к централизованным электрическим сетям Сетевой организации через объекты электросетевого хозяйства партнёрства, установленных настоящими Правилами.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Безучетное потребление</w:t>
      </w:r>
      <w:r w:rsidRPr="005C4D46">
        <w:rPr>
          <w:rFonts w:cs="Times New Roman"/>
          <w:sz w:val="28"/>
          <w:szCs w:val="28"/>
        </w:rPr>
        <w:t xml:space="preserve"> - это потребление электрической энергии с нарушением настоящего регламента со стороны Потребителя, выразившимся во вмешательстве в работу прибора учета, 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учета, в несоблюдении установленных настоящим регламентом сроков извещения об утрате (неисправности) прибора учета, а также в совершении заявителем иных действий (бездействий), которые привели к искажению данных об объеме потребления электрической энергии.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Представители партнерства</w:t>
      </w:r>
      <w:r w:rsidRPr="005C4D46">
        <w:rPr>
          <w:rFonts w:cs="Times New Roman"/>
          <w:sz w:val="28"/>
          <w:szCs w:val="28"/>
        </w:rPr>
        <w:t xml:space="preserve"> – привлеченные партнерством сторонние (третье лица на договорной основе) организации (организаций), участвующие в проведении мероприятий, инициируемых партнерством.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Частичное ограничение режима потребления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вводимое в отношении энергопринимающих устройств Потребителя и предполагающее сокращение объема подачи электрической энергии (мощности) потребителю до уровня, определенного в соответствии с настоящими Правилами.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Полное ограничение режима потребления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предполагающее прекращение подачи электрической энергии (мощности) Потребителю в отношении энергопринимающих устройств Потребителя, ограничение режима потребления которыми подлежит введению в соответствии с настоящими Правилами.</w:t>
      </w:r>
    </w:p>
    <w:p w:rsidR="00E56A9A" w:rsidRPr="005C4D46" w:rsidRDefault="00E56A9A" w:rsidP="00E56A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C4D46">
        <w:rPr>
          <w:rFonts w:ascii="Times New Roman" w:hAnsi="Times New Roman" w:cs="Times New Roman"/>
          <w:b/>
          <w:sz w:val="28"/>
          <w:szCs w:val="28"/>
        </w:rPr>
        <w:t>Индивидуальный узел учета</w:t>
      </w:r>
      <w:r w:rsidRPr="005C4D46">
        <w:rPr>
          <w:rFonts w:ascii="Times New Roman" w:hAnsi="Times New Roman" w:cs="Times New Roman"/>
          <w:sz w:val="28"/>
          <w:szCs w:val="28"/>
        </w:rPr>
        <w:t xml:space="preserve"> - установленный на опоре объектов электросетевого хозяйства Партнерства, герметичный металлический шкаф, заземлённый через металлоконструкцию опоры и электрод заземления. Внутри герметичного металлического шкафа расположены: вводной автоматический выключатель, устройство защиты от перенапряжений и импульсных грозовых разрядов, трёхфазный счётчик электрической энергии на ток 60А (прибор учета), отходящий трёхфазный автоматический выключатель на 25А и розетка для подключения электроинструмента с защитой от утечек на землю (поражения электрическим током).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Настоящие правила применяются к отношениям, связанным с осуществлением Партнерством подключения энергопринимающих устройств Потребителя к объектам электросетевого хозяйства партнерства, </w:t>
      </w:r>
      <w:r w:rsidRPr="005C4D46">
        <w:rPr>
          <w:rStyle w:val="fontstyle01"/>
          <w:rFonts w:cs="Times New Roman"/>
          <w:color w:val="auto"/>
          <w:sz w:val="28"/>
          <w:szCs w:val="28"/>
        </w:rPr>
        <w:t xml:space="preserve">полного или частичного ограничения режима потребления электрической энергии </w:t>
      </w:r>
      <w:r w:rsidRPr="005C4D46">
        <w:rPr>
          <w:rFonts w:cs="Times New Roman"/>
          <w:sz w:val="28"/>
          <w:szCs w:val="28"/>
        </w:rPr>
        <w:t xml:space="preserve"> энергопринимающих устройств Потребителя от централизованных электрических сетей сетевой организации в точке поставки через объекты электросетевого хозяйства партнерства, </w:t>
      </w:r>
      <w:r w:rsidRPr="005C4D46">
        <w:rPr>
          <w:rFonts w:cs="Times New Roman"/>
          <w:b/>
          <w:sz w:val="28"/>
          <w:szCs w:val="28"/>
        </w:rPr>
        <w:t xml:space="preserve">устанавливают порядок возмещения </w:t>
      </w:r>
      <w:r w:rsidRPr="005C4D46">
        <w:rPr>
          <w:rFonts w:cs="Times New Roman"/>
          <w:sz w:val="28"/>
          <w:szCs w:val="28"/>
        </w:rPr>
        <w:t xml:space="preserve">Потребителем стоимости приобретенной партнерством электрической энергии (мощности) в целях компенсации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хозяйства. 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ОБЯЗАННОСТИ ПОТРЕБИТЕЛЯ.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Выполнять требования настоящих правил. 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Подавать показания индивидуального прибора учета Гарантирующему поставщику ежемесячно, до окончания 1-го дня месяца, следующего за расчетным периодом. 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Выполнять Правила Устройства Электроустановок (ПУЭ), Правила технической эксплуатации электроустановок потребителей.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 xml:space="preserve">Самостоятельно не производить дополнительного подключения </w:t>
      </w:r>
      <w:r w:rsidRPr="005C4D46">
        <w:rPr>
          <w:rFonts w:eastAsia="Andale Sans UI"/>
          <w:kern w:val="2"/>
          <w:sz w:val="28"/>
          <w:szCs w:val="28"/>
          <w:u w:val="single"/>
        </w:rPr>
        <w:t>через объекты электросетевого хозяйства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уведомлять представителей партнерства обо всех неисправностях и (или) повреждениях прибора учета, контрольных пломб, знаков визуального контроля.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 xml:space="preserve">Не устанавливать замки и иные запорные устройства, ограничивающих доступ в индивидуальный узел  учета представителям Партнерства для снятия показаний, контроля схем включения прибора учета электрической энергии, выявления фактов вмешательств в работу прибора учета. В случае наличия запорных устройств, ограничивающих доступ в индивидуальный узел учета, произвести демонтаж таких запорных устройств в течение 15 дней с момента утверждения настоящих правил Общим собранием ДНП "Агро-клуб Усадьба". </w:t>
      </w:r>
    </w:p>
    <w:p w:rsidR="00E56A9A" w:rsidRPr="005C4D46" w:rsidRDefault="00E56A9A" w:rsidP="00E56A9A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Партнерства и Гарантирующего поставщика в случае намерения демонтировать в целях замены, ремонта или поверки прибор учета, ранее установленного в отношении таких энергопринимающих устройств Потребителя. Заявка должна содержать реквизиты заявителя, адрес, контактные данные (в т.ч. номер телефона), </w:t>
      </w:r>
      <w:r w:rsidRPr="005C4D46">
        <w:rPr>
          <w:sz w:val="28"/>
          <w:szCs w:val="28"/>
        </w:rPr>
        <w:lastRenderedPageBreak/>
        <w:t>а также предлагаемые дату и время осуществления указанных в заявке действий, но не ранее 7 рабочих дней со дня ее направления.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уведомлять представителей партнерства обо всех неисправностях и (или) повреждениях объектов электросетевого хозяйства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Немедленно устранять выявленные представителем партнерства нарушения с последующим письменным уведомлением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 препятствовать работе прибору учета электроэнергии, не вскрывать и не вмешиваться в его конструкцию, обеспечивать сохранность контрольных пломб и (или) знаков визуального контроля.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 производить любые электромонтажные работы в индивидуальном узле учета без согласования с представителями партнерства.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eastAsia="Andale Sans UI"/>
          <w:kern w:val="2"/>
          <w:sz w:val="28"/>
          <w:szCs w:val="28"/>
        </w:rPr>
        <w:t>Нести материальную ответственность за сохранностью и исправностью прибора учета электроэнергии и оборудования, установленного в узле учета.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bCs/>
          <w:sz w:val="28"/>
          <w:szCs w:val="28"/>
        </w:rPr>
        <w:t xml:space="preserve">Не производить любые монтажные работы, не устанавливать фонари освещения и другое оборудование в системе электросетевого хозяйства (в т.ч. опоры линий электропередач) без письменного согласования с партнерством. </w:t>
      </w:r>
    </w:p>
    <w:p w:rsidR="00E56A9A" w:rsidRPr="005C4D46" w:rsidRDefault="00E56A9A" w:rsidP="00E56A9A">
      <w:pPr>
        <w:pStyle w:val="a3"/>
        <w:widowControl w:val="0"/>
        <w:suppressAutoHyphens/>
        <w:ind w:left="1429"/>
        <w:jc w:val="both"/>
        <w:rPr>
          <w:rFonts w:eastAsia="Andale Sans UI"/>
          <w:kern w:val="2"/>
          <w:sz w:val="28"/>
          <w:szCs w:val="28"/>
        </w:rPr>
      </w:pPr>
    </w:p>
    <w:p w:rsidR="00E56A9A" w:rsidRPr="005C4D46" w:rsidRDefault="00E56A9A" w:rsidP="00E56A9A">
      <w:pPr>
        <w:ind w:firstLine="709"/>
        <w:rPr>
          <w:rFonts w:eastAsia="Times New Roman" w:cs="Times New Roman"/>
          <w:b/>
          <w:caps/>
          <w:sz w:val="28"/>
          <w:szCs w:val="28"/>
        </w:rPr>
      </w:pPr>
      <w:r w:rsidRPr="005C4D46">
        <w:rPr>
          <w:rFonts w:eastAsia="Times New Roman" w:cs="Times New Roman"/>
          <w:b/>
          <w:caps/>
          <w:sz w:val="28"/>
          <w:szCs w:val="28"/>
        </w:rPr>
        <w:t>ОБЯЗАННОСТИ ПАРТНЕРСТВА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Осуществлять ежемесячный контроль за потреблением электроэнергии Потребителя, пользующихся объектами электросетевого хозяйства партнерства с момента их ввода в эксплуатацию.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Производить проверки самовольного подключения, проверки изменения схем подключения прибора учета и энергопринимающих устройств Потребителя, проверки их технического состояния, проверки состояния контрольных пломб и (или) знаков визуального контроля, выявлять факты безучётного потребления. 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Производить демонтаж замков и иных запорных устройств,</w:t>
      </w:r>
      <w:r w:rsidRPr="005C4D46">
        <w:rPr>
          <w:rFonts w:eastAsia="Andale Sans UI" w:cstheme="minorBidi"/>
          <w:kern w:val="2"/>
          <w:sz w:val="28"/>
          <w:szCs w:val="28"/>
        </w:rPr>
        <w:t xml:space="preserve"> </w:t>
      </w:r>
      <w:r w:rsidRPr="005C4D46">
        <w:rPr>
          <w:sz w:val="28"/>
          <w:szCs w:val="28"/>
        </w:rPr>
        <w:t xml:space="preserve">ограничивающих доступ в индивидуальный узел учета представителям Партнерства, путем разрушения таких запорных устройств. 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sz w:val="28"/>
          <w:szCs w:val="28"/>
        </w:rPr>
        <w:t xml:space="preserve">Полностью вводить ограничение электроэнергии Потребителю по основаниям, предусмотренным </w:t>
      </w:r>
      <w:r w:rsidRPr="005C4D46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56A9A" w:rsidRPr="005C4D46" w:rsidRDefault="00E56A9A" w:rsidP="00E56A9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sz w:val="28"/>
          <w:szCs w:val="28"/>
        </w:rPr>
        <w:t xml:space="preserve">Вводить частичное ограничение электроэнергии Потребителю по основаниям, предусмотренным </w:t>
      </w:r>
      <w:r w:rsidRPr="005C4D46">
        <w:rPr>
          <w:bCs/>
          <w:sz w:val="28"/>
          <w:szCs w:val="28"/>
        </w:rPr>
        <w:t xml:space="preserve">Постановлением Правительства РФ от 04.05.2012 N 442 "О функционировании розничных рынков электрической энергии, полном и (или) частичном </w:t>
      </w:r>
      <w:r w:rsidRPr="005C4D46">
        <w:rPr>
          <w:bCs/>
          <w:sz w:val="28"/>
          <w:szCs w:val="28"/>
        </w:rPr>
        <w:lastRenderedPageBreak/>
        <w:t>ограничении режима потребления электрической энергии".</w:t>
      </w:r>
    </w:p>
    <w:p w:rsidR="00E56A9A" w:rsidRPr="005C4D46" w:rsidRDefault="00E56A9A" w:rsidP="00E56A9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caps/>
          <w:sz w:val="28"/>
          <w:szCs w:val="28"/>
        </w:rPr>
      </w:pPr>
      <w:r w:rsidRPr="005C4D46">
        <w:rPr>
          <w:sz w:val="28"/>
          <w:szCs w:val="28"/>
        </w:rPr>
        <w:t>Проверять достоверность, передаваемых лицами сведений о показаниях индивидуального прибора учета электроэнергии и осуществлять контроль за потреблением электроэнергии с момента ввода в эксплуатацию объектов электросетевого хозяйства на территории партнерства путем осуществления мероприятий, включающих в себя снятие показаний с прибора учета и проверки целостности контрольных пломб.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 xml:space="preserve">МЕРОПРИЯТИЯ ПО подключению </w:t>
      </w:r>
      <w:r w:rsidRPr="005C4D46">
        <w:rPr>
          <w:b/>
          <w:caps/>
          <w:sz w:val="28"/>
          <w:szCs w:val="28"/>
        </w:rPr>
        <w:t xml:space="preserve">энергопринимающих устройств Потребителя к </w:t>
      </w:r>
      <w:r w:rsidRPr="005C4D46">
        <w:rPr>
          <w:rFonts w:cs="Times New Roman"/>
          <w:b/>
          <w:caps/>
          <w:sz w:val="28"/>
          <w:szCs w:val="28"/>
        </w:rPr>
        <w:t>централизованным электрическим сетям Сетевой организации через объекты электросетевого хозяйства партнёрства.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Партнерство осуществляет:</w:t>
      </w:r>
    </w:p>
    <w:p w:rsidR="00E56A9A" w:rsidRPr="005C4D46" w:rsidRDefault="00E56A9A" w:rsidP="00E56A9A">
      <w:pPr>
        <w:pStyle w:val="a3"/>
        <w:ind w:left="0" w:firstLine="709"/>
        <w:rPr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r w:rsidRPr="005C4D46">
        <w:rPr>
          <w:rFonts w:cs="Times New Roman"/>
          <w:bCs/>
          <w:sz w:val="28"/>
          <w:szCs w:val="28"/>
        </w:rPr>
        <w:t>- Устанавливает наличие (отсутствие) технической возможности подключения энергопринимающих устройств в границах земельного участка Потребителя;</w:t>
      </w:r>
    </w:p>
    <w:p w:rsidR="00E56A9A" w:rsidRPr="005C4D46" w:rsidRDefault="00E56A9A" w:rsidP="00E56A9A">
      <w:pPr>
        <w:shd w:val="clear" w:color="auto" w:fill="FFFFFF"/>
        <w:ind w:firstLine="709"/>
        <w:jc w:val="both"/>
        <w:rPr>
          <w:rStyle w:val="blk"/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Выдает предписание возможного варианта присоединения энергопринимающих устройств Потребителя к индивидуальному узлу учета; 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 xml:space="preserve">- В индивидуальном узле учета Потребителя устанавливает номерные контрольные пломбы и (или) знаки визуального контроля ДНП "Агро-клуб Усадьба", в том числе с индикацией воздействия магнита. Номера установленных контрольных пломб и (или) знаков визуального контроля указываются в </w:t>
      </w:r>
      <w:bookmarkStart w:id="0" w:name="dst100794"/>
      <w:bookmarkStart w:id="1" w:name="dst85"/>
      <w:bookmarkStart w:id="2" w:name="dst100293"/>
      <w:bookmarkStart w:id="3" w:name="dst87"/>
      <w:bookmarkStart w:id="4" w:name="dst100796"/>
      <w:bookmarkStart w:id="5" w:name="dst100310"/>
      <w:bookmarkStart w:id="6" w:name="dst100798"/>
      <w:bookmarkStart w:id="7" w:name="dst1003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C4D46">
        <w:rPr>
          <w:sz w:val="28"/>
          <w:szCs w:val="28"/>
        </w:rPr>
        <w:t>соглашении 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5C4D46">
        <w:rPr>
          <w:rFonts w:cs="Times New Roman"/>
          <w:b/>
          <w:sz w:val="28"/>
          <w:szCs w:val="28"/>
        </w:rPr>
        <w:t>Потребитель осуществляет: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Подачу заявки для подключения энергопринимающих устройств Потребителя.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Заключение договора оказания услуг по сборке и монтажу индивидуального узла учета со специализированной организацией или специалистом, имеющим группу допуска для работы в электроустановках до 1000В.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Выдает техническое задание специализированной организации или специалисту, имеющему группу допуска для работы в электроустановках до 1000 В, на сборку и монтаж индивидуального узла учета с соблюдением следующих </w:t>
      </w:r>
      <w:r w:rsidRPr="005C4D46">
        <w:rPr>
          <w:b/>
          <w:bCs/>
          <w:sz w:val="28"/>
          <w:szCs w:val="28"/>
        </w:rPr>
        <w:t>обязательных</w:t>
      </w:r>
      <w:r w:rsidRPr="005C4D46">
        <w:rPr>
          <w:bCs/>
          <w:sz w:val="28"/>
          <w:szCs w:val="28"/>
        </w:rPr>
        <w:t xml:space="preserve"> условий: 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 xml:space="preserve">а) сборка и подключение индивидуального узла учета должны осуществляться строго согласно Схеме присоединения оборудования потребителя к электрической сети (Приложение №1 к настоящим </w:t>
      </w:r>
      <w:r w:rsidRPr="005C4D46">
        <w:rPr>
          <w:bCs/>
          <w:sz w:val="28"/>
          <w:szCs w:val="28"/>
        </w:rPr>
        <w:lastRenderedPageBreak/>
        <w:t>правилам), разработанной в рамках проекта при создании электросетевого хозяйства партнерства, обеспечивающей соблюдение требований всех нормативно-технических регламентов и равномерное распределение нагрузки в объектах электросетевого хозяйства;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б) трёхфазный счётчик электрической энергии в соответствии с Приложением №1 поставляется представителями партнерства;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в) опуск провода СИП с оголовка опоры к индивидуальному узлу учёта должен быть защищен трубой гофрированной из материала ПНД;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г) запрещается сверление конструкции ж/б опор (также другие разрушающие воздействия) и использование металлоконструкций опоры для установки анкерных зажимов и индивидуального узла учета;</w:t>
      </w:r>
    </w:p>
    <w:p w:rsidR="00E56A9A" w:rsidRPr="005C4D46" w:rsidRDefault="00E56A9A" w:rsidP="00E56A9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Монтаж кабеля за счет собственных средств от индивидуального узла учета до энергопринимающих устройств в границах своего земельного участка, в том числе подключение кабеля к отводящему автомату в узле учета;</w:t>
      </w:r>
    </w:p>
    <w:p w:rsidR="00E56A9A" w:rsidRPr="005C4D46" w:rsidRDefault="00E56A9A" w:rsidP="00E56A9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5C4D46">
        <w:rPr>
          <w:bCs/>
          <w:sz w:val="28"/>
          <w:szCs w:val="28"/>
        </w:rPr>
        <w:t>Приобретение кабеля и других необходимых материалов за счет собственных средств для монтажа кабеля от узла учета до энергопринимающих устройств в границах своего земельного участка в порядке, установленном Партнерством согласно выданным письменным предписаниям;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bCs/>
          <w:sz w:val="28"/>
          <w:szCs w:val="28"/>
        </w:rPr>
        <w:t xml:space="preserve">Эксплуатация индивидуального узла учёта возможна после проверки его сборки, монтажа и подключения представителями партнерства с выдачей соглашения </w:t>
      </w:r>
      <w:r w:rsidRPr="005C4D46">
        <w:rPr>
          <w:sz w:val="28"/>
          <w:szCs w:val="28"/>
        </w:rPr>
        <w:t>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5C4D46">
        <w:rPr>
          <w:sz w:val="28"/>
          <w:szCs w:val="28"/>
        </w:rPr>
        <w:t>Мероприятия по подключению производятся в сроки, не превышающие одного месяца и считаются завершенными документальным оформлением соглашения о подключении потребителя через объекты электросетевого хозяйства партнёрства к централизованным электрическим сетям Сетевой организации.</w:t>
      </w:r>
    </w:p>
    <w:p w:rsidR="00E56A9A" w:rsidRPr="005C4D46" w:rsidRDefault="00E56A9A" w:rsidP="00E56A9A">
      <w:pPr>
        <w:spacing w:before="12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Подключение энергопринимающих устройств Потребителя не производятся в случае отсутствия технической возможности в границах земельного участка Потребителя.   </w:t>
      </w:r>
    </w:p>
    <w:p w:rsidR="00E56A9A" w:rsidRPr="005C4D46" w:rsidRDefault="00E56A9A" w:rsidP="00E56A9A">
      <w:pPr>
        <w:spacing w:before="121" w:line="300" w:lineRule="atLeast"/>
        <w:ind w:firstLine="709"/>
        <w:jc w:val="both"/>
        <w:rPr>
          <w:rFonts w:cs="Times New Roman"/>
          <w:b/>
          <w:caps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Оплата за содержание объектов электросетевого хозяйства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Оплата за содержание объектов электросетевого хозяйства партнерства производится Потребителем путем оплаты членского взноса на расчетный счет ДНП «Агро-клуб Усадьба».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Членский взнос за содержание определяется расчетным путем на основании фактических расходов на содержание объектов электросетевого хозяйства партнерства, в том числе в целях компенсации части расходов на </w:t>
      </w:r>
      <w:r w:rsidRPr="005C4D46">
        <w:rPr>
          <w:rFonts w:cs="Times New Roman"/>
          <w:sz w:val="28"/>
          <w:szCs w:val="28"/>
        </w:rPr>
        <w:lastRenderedPageBreak/>
        <w:t xml:space="preserve">приобретение электрической энергии, потребленной при использовании объектов инфраструктуры и другого имущества общего пользования партнерства, и части расходов на приобретение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электрической энергии, потребленной за расчетный период-месяц (далее объем электрической энергии), определяется по показаниям приборов учета, пункта коммерческого учета, как разность между показаниями на дату в текущем месяце в период с 25 по 30 число и показаниями на дату в прошлом месяце в период с 25 по 30 число.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электрической энергии, потребленной при использовании объектов инфраструктуры и другого имущества общего пользования партнерства, определяется суммой объемов электрической энергии, которые получены по показаниям приборов учета, установленных в отношении объектов инфраструктуры и другого имущества общего пользования.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Объем потерь электрической энергии за расчетный период, возникающих в объектах электросетевого хозяйства партнерства, определяется как разность между объемом электрической энергии, определенного по показаниям пункта коммерческого учета, и суммой объемов электрической энергии, определенных по показаниям приборов учета, установленных в отношении энергопринимающих устройств Потребителей и в отношении объектов инфраструктуры и другого имущества общего пользования партнерства.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Размер членского взноса и дата его применения доводится до Потребителя в квитанциях на оплату. 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pacing w:val="3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Несвоевременное поступление членских взносов от Потребителя приводит к удержанию партнерством неустойки в размере 0,3% от суммы задолженности за каждый день просрочки, указанной в квитанциях на оплату из платежей, </w:t>
      </w:r>
      <w:r w:rsidRPr="005C4D46">
        <w:rPr>
          <w:rFonts w:cs="Times New Roman"/>
          <w:spacing w:val="3"/>
          <w:sz w:val="28"/>
          <w:szCs w:val="28"/>
        </w:rPr>
        <w:t>подлежащих оплате Заявителем.</w:t>
      </w:r>
    </w:p>
    <w:p w:rsidR="00E56A9A" w:rsidRPr="005C4D46" w:rsidRDefault="00E56A9A" w:rsidP="00E56A9A">
      <w:pPr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Оплата за потребленную электроэнегрию</w:t>
      </w:r>
    </w:p>
    <w:p w:rsidR="00E56A9A" w:rsidRPr="005C4D46" w:rsidRDefault="00E56A9A" w:rsidP="00E56A9A">
      <w:pPr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Оплата за потребление электрической энергии Потребителем в бытовых целях производится на основании договора энергоснабжения заключаемого с Гарантирующим поставщиком.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Объем потребления электроэнергии по индивидуальным узлам учета определяется Потребителем самостоятельно ежемесячно (с 23 по 25 число) по разнице текущих показаний прибора учета и показаний в прошлом </w:t>
      </w:r>
      <w:r w:rsidRPr="005C4D46">
        <w:rPr>
          <w:rFonts w:cs="Times New Roman"/>
          <w:sz w:val="28"/>
          <w:szCs w:val="28"/>
        </w:rPr>
        <w:lastRenderedPageBreak/>
        <w:t>календарном месяце. Показания в текущем календарном месяце передаются Гарантирующему поставщику самостоятельно.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Проведение проверок приборов учета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Партнерство (уполномоченное партнерством лицо) имеет право в любое время проводить проверки приборов учета Потребителя. Проверки включают визуальный осмотр схемы подключения энергопринимающих устройств и схем соединения приборов учета, проверку соответствия приборов учета требованиям законодательства РФ, проверку состояния прибора учета, наличия и сохранности контрольных пломб и знаков визуального контроля, а также снятие показаний приборов учета. Указанные проверки могут проводиться в виде инструментальной проверки.  По факту проверки может быть составлен Акт проверки узла учета.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b/>
          <w:sz w:val="28"/>
          <w:szCs w:val="28"/>
        </w:rPr>
      </w:pPr>
      <w:r w:rsidRPr="005C4D46">
        <w:rPr>
          <w:b/>
          <w:sz w:val="28"/>
          <w:szCs w:val="28"/>
        </w:rPr>
        <w:t>Самовольное подключение</w:t>
      </w: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Самовольное подключение к системе энергоснабжения партнерства означает, что заявитель совершил подключение, осуществленное без выполнения мероприятий по подключению, установленных настоящими правилами.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t>ОБЯЗАННОСТИ ЛИЦ, которые произвели самовольное подключение.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Лица, самовольно подключившиеся к системе энергоснабжения партнерства обязаны: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- обеспечить самостоятельное отключение своих энергопринимающих устройств от объектов электросетевого хозяйства партнёрства в течение 3 суток с момента составления акта о самовольном подключении.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- в случае не исполнения самостоятельного отключения компенсировать расходы в адрес партнерства на мероприятия по отключению;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- </w:t>
      </w:r>
      <w:bookmarkStart w:id="8" w:name="_Hlk511801230"/>
      <w:r w:rsidRPr="005C4D46">
        <w:rPr>
          <w:sz w:val="28"/>
          <w:szCs w:val="28"/>
        </w:rPr>
        <w:t>внести плату в адрес партнерства за потребленный объем электрической энергии в самовольном порядке</w:t>
      </w:r>
      <w:bookmarkEnd w:id="8"/>
      <w:r w:rsidRPr="005C4D46">
        <w:rPr>
          <w:sz w:val="28"/>
          <w:szCs w:val="28"/>
        </w:rPr>
        <w:t xml:space="preserve"> по стоимости безучетного потребления, рассчитанного в соответствии с </w:t>
      </w:r>
      <w:r w:rsidRPr="005C4D46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56A9A" w:rsidRPr="005C4D46" w:rsidRDefault="00E56A9A" w:rsidP="00E56A9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5C4D46">
        <w:rPr>
          <w:rFonts w:cs="Times New Roman"/>
          <w:sz w:val="28"/>
          <w:szCs w:val="28"/>
        </w:rPr>
        <w:t>Датой возможного подключения к системе энергоснабжения Партнерства будет считаться дата полного погашения задолженности по уплате всех установленных взносов Партнерством и прохождения необходимой процедуры по подключению к сети, предусмотренных настоящими правилами.</w:t>
      </w:r>
    </w:p>
    <w:p w:rsidR="00E56A9A" w:rsidRPr="005C4D46" w:rsidRDefault="00E56A9A" w:rsidP="00E56A9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5C4D46">
        <w:rPr>
          <w:rFonts w:cs="Times New Roman"/>
          <w:b/>
          <w:caps/>
          <w:sz w:val="28"/>
          <w:szCs w:val="28"/>
        </w:rPr>
        <w:lastRenderedPageBreak/>
        <w:t>ЗАКЛЮЧИТЕЛЬНЫЕ ПОЛОЖЕНИЯ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cs="Times New Roman"/>
          <w:sz w:val="28"/>
          <w:szCs w:val="28"/>
        </w:rPr>
        <w:t xml:space="preserve">Настоящие правила вступают в действие со дня их утверждения </w:t>
      </w:r>
      <w:r w:rsidRPr="005C4D46">
        <w:rPr>
          <w:rFonts w:eastAsia="Times New Roman" w:cs="Times New Roman"/>
          <w:sz w:val="28"/>
          <w:szCs w:val="28"/>
        </w:rPr>
        <w:t>Решением Общего собрания партнерства</w:t>
      </w:r>
      <w:r>
        <w:rPr>
          <w:rFonts w:eastAsia="Times New Roman" w:cs="Times New Roman"/>
          <w:sz w:val="28"/>
          <w:szCs w:val="28"/>
        </w:rPr>
        <w:t xml:space="preserve"> и являются обязательными для исполнения всеми в партнерстве</w:t>
      </w:r>
      <w:r w:rsidRPr="005C4D46">
        <w:rPr>
          <w:rFonts w:eastAsia="Times New Roman" w:cs="Times New Roman"/>
          <w:sz w:val="28"/>
          <w:szCs w:val="28"/>
        </w:rPr>
        <w:t>.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eastAsia="Times New Roman" w:cs="Times New Roman"/>
          <w:sz w:val="28"/>
          <w:szCs w:val="28"/>
        </w:rPr>
        <w:t>Приложения:</w:t>
      </w:r>
    </w:p>
    <w:p w:rsidR="00E56A9A" w:rsidRPr="005C4D46" w:rsidRDefault="00E56A9A" w:rsidP="00E56A9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C4D46">
        <w:rPr>
          <w:rFonts w:eastAsia="Times New Roman" w:cs="Times New Roman"/>
          <w:sz w:val="28"/>
          <w:szCs w:val="28"/>
        </w:rPr>
        <w:t>1. Схема присоединения оборудования Потребителя к электрической сети (Схема электрическая принципиальная однолинейная питающей сети на 1 листе; Спецификация на 1 листе).</w:t>
      </w:r>
    </w:p>
    <w:p w:rsidR="00E56A9A" w:rsidRPr="005C4D46" w:rsidRDefault="00E56A9A" w:rsidP="00E56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A9A" w:rsidRPr="005C4D46" w:rsidRDefault="00E56A9A" w:rsidP="00E56A9A"/>
    <w:p w:rsidR="00181C2A" w:rsidRDefault="00181C2A">
      <w:bookmarkStart w:id="9" w:name="_GoBack"/>
      <w:bookmarkEnd w:id="9"/>
    </w:p>
    <w:sectPr w:rsidR="00181C2A" w:rsidSect="008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3CD6"/>
    <w:multiLevelType w:val="hybridMultilevel"/>
    <w:tmpl w:val="FBBE7072"/>
    <w:lvl w:ilvl="0" w:tplc="A6CEC7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17670"/>
    <w:multiLevelType w:val="hybridMultilevel"/>
    <w:tmpl w:val="0C06BD1C"/>
    <w:lvl w:ilvl="0" w:tplc="7E5AD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8F"/>
    <w:rsid w:val="00181C2A"/>
    <w:rsid w:val="001F408F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85F9-9665-402E-BE58-B8B5EE4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9A"/>
    <w:pPr>
      <w:ind w:left="720"/>
      <w:contextualSpacing/>
    </w:pPr>
    <w:rPr>
      <w:rFonts w:eastAsia="Times New Roman" w:cs="Times New Roman"/>
    </w:rPr>
  </w:style>
  <w:style w:type="character" w:customStyle="1" w:styleId="blk">
    <w:name w:val="blk"/>
    <w:basedOn w:val="a0"/>
    <w:rsid w:val="00E56A9A"/>
  </w:style>
  <w:style w:type="character" w:customStyle="1" w:styleId="fontstyle01">
    <w:name w:val="fontstyle01"/>
    <w:basedOn w:val="a0"/>
    <w:rsid w:val="00E56A9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E5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17264</Characters>
  <Application>Microsoft Office Word</Application>
  <DocSecurity>0</DocSecurity>
  <Lines>143</Lines>
  <Paragraphs>40</Paragraphs>
  <ScaleCrop>false</ScaleCrop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2019-05-18T11:19:00Z</dcterms:created>
  <dcterms:modified xsi:type="dcterms:W3CDTF">2019-05-18T11:19:00Z</dcterms:modified>
</cp:coreProperties>
</file>